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4CC" w:rsidRDefault="00E964CC" w:rsidP="00E964CC">
      <w:pPr>
        <w:ind w:left="284"/>
        <w:rPr>
          <w:b/>
          <w:noProof/>
          <w:lang w:eastAsia="ru-RU"/>
        </w:rPr>
      </w:pPr>
    </w:p>
    <w:p w:rsidR="00EC431D" w:rsidRDefault="00E964CC" w:rsidP="00E964CC">
      <w:pPr>
        <w:ind w:left="284"/>
        <w:rPr>
          <w:b/>
          <w:noProof/>
          <w:lang w:eastAsia="ru-RU"/>
        </w:rPr>
      </w:pPr>
      <w:r>
        <w:rPr>
          <w:b/>
          <w:noProof/>
          <w:lang w:eastAsia="ru-RU"/>
        </w:rPr>
        <mc:AlternateContent>
          <mc:Choice Requires="wps">
            <w:drawing>
              <wp:anchor distT="0" distB="0" distL="114300" distR="114300" simplePos="0" relativeHeight="251659264" behindDoc="0" locked="0" layoutInCell="1" allowOverlap="1">
                <wp:simplePos x="0" y="0"/>
                <wp:positionH relativeFrom="column">
                  <wp:posOffset>2092960</wp:posOffset>
                </wp:positionH>
                <wp:positionV relativeFrom="paragraph">
                  <wp:posOffset>12065</wp:posOffset>
                </wp:positionV>
                <wp:extent cx="4543425" cy="1133475"/>
                <wp:effectExtent l="0" t="0" r="9525" b="9525"/>
                <wp:wrapNone/>
                <wp:docPr id="1" name="Надпись 1"/>
                <wp:cNvGraphicFramePr/>
                <a:graphic xmlns:a="http://schemas.openxmlformats.org/drawingml/2006/main">
                  <a:graphicData uri="http://schemas.microsoft.com/office/word/2010/wordprocessingShape">
                    <wps:wsp>
                      <wps:cNvSpPr txBox="1"/>
                      <wps:spPr>
                        <a:xfrm>
                          <a:off x="0" y="0"/>
                          <a:ext cx="4543425" cy="1133475"/>
                        </a:xfrm>
                        <a:prstGeom prst="rect">
                          <a:avLst/>
                        </a:prstGeom>
                        <a:solidFill>
                          <a:schemeClr val="lt1"/>
                        </a:solidFill>
                        <a:ln w="6350">
                          <a:noFill/>
                        </a:ln>
                      </wps:spPr>
                      <wps:txbx>
                        <w:txbxContent>
                          <w:p w:rsidR="00E964CC" w:rsidRPr="0041574E" w:rsidRDefault="00E964CC" w:rsidP="00E964CC">
                            <w:pPr>
                              <w:jc w:val="center"/>
                              <w:rPr>
                                <w:sz w:val="28"/>
                                <w:szCs w:val="28"/>
                              </w:rPr>
                            </w:pPr>
                            <w:r w:rsidRPr="0041574E">
                              <w:rPr>
                                <w:sz w:val="28"/>
                                <w:szCs w:val="28"/>
                              </w:rPr>
                              <w:t>Спецификация</w:t>
                            </w:r>
                          </w:p>
                          <w:p w:rsidR="00E964CC" w:rsidRPr="00E964CC" w:rsidRDefault="005A0692" w:rsidP="00E964CC">
                            <w:pPr>
                              <w:spacing w:after="0"/>
                              <w:jc w:val="center"/>
                              <w:rPr>
                                <w:b/>
                                <w:sz w:val="28"/>
                                <w:szCs w:val="28"/>
                              </w:rPr>
                            </w:pPr>
                            <w:r>
                              <w:rPr>
                                <w:b/>
                                <w:sz w:val="28"/>
                                <w:szCs w:val="28"/>
                              </w:rPr>
                              <w:t>Мусс-Суфле Клубника, Крем-Брюле, Персик, Пломбир</w:t>
                            </w:r>
                          </w:p>
                          <w:p w:rsidR="00E964CC" w:rsidRPr="00E964CC" w:rsidRDefault="00E964CC" w:rsidP="00E964CC">
                            <w:pPr>
                              <w:spacing w:after="0" w:line="240" w:lineRule="auto"/>
                              <w:jc w:val="center"/>
                              <w:rPr>
                                <w:rFonts w:ascii="Calibri" w:eastAsia="Times New Roman" w:hAnsi="Calibri" w:cs="Times New Roman"/>
                                <w:color w:val="000000"/>
                                <w:sz w:val="24"/>
                                <w:szCs w:val="24"/>
                                <w:lang w:eastAsia="ru-RU"/>
                              </w:rPr>
                            </w:pPr>
                            <w:r w:rsidRPr="00E964CC">
                              <w:rPr>
                                <w:rFonts w:ascii="Calibri" w:eastAsia="Times New Roman" w:hAnsi="Calibri" w:cs="Times New Roman"/>
                                <w:color w:val="000000"/>
                                <w:sz w:val="24"/>
                                <w:szCs w:val="24"/>
                                <w:lang w:eastAsia="ru-RU"/>
                              </w:rPr>
                              <w:t>Полуфабрикаты сахаристые кондитерские "ЮНЕКС"</w:t>
                            </w:r>
                          </w:p>
                          <w:p w:rsidR="00E964CC" w:rsidRPr="00E964CC" w:rsidRDefault="00E964CC" w:rsidP="00E964CC">
                            <w:pPr>
                              <w:spacing w:after="0" w:line="240" w:lineRule="auto"/>
                              <w:jc w:val="center"/>
                              <w:rPr>
                                <w:rFonts w:ascii="Calibri" w:eastAsia="Times New Roman" w:hAnsi="Calibri" w:cs="Times New Roman"/>
                                <w:color w:val="000000"/>
                                <w:sz w:val="24"/>
                                <w:szCs w:val="24"/>
                                <w:lang w:eastAsia="ru-RU"/>
                              </w:rPr>
                            </w:pPr>
                            <w:r w:rsidRPr="00E964CC">
                              <w:rPr>
                                <w:rFonts w:ascii="Calibri" w:eastAsia="Times New Roman" w:hAnsi="Calibri" w:cs="Times New Roman"/>
                                <w:color w:val="000000"/>
                                <w:sz w:val="24"/>
                                <w:szCs w:val="24"/>
                                <w:lang w:eastAsia="ru-RU"/>
                              </w:rPr>
                              <w:t>ТУ 10.81.13-002-19340454-2018</w:t>
                            </w:r>
                          </w:p>
                          <w:p w:rsidR="00E964CC" w:rsidRPr="00E964CC" w:rsidRDefault="00E964CC" w:rsidP="00E964CC">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64.8pt;margin-top:.95pt;width:357.75pt;height:8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" fillcolor="white [3201]" stroked="f" strokeweight=".5pt">
                <v:textbox>
                  <w:txbxContent>
                    <w:p w:rsidR="00E964CC" w:rsidRPr="0041574E" w:rsidRDefault="00E964CC" w:rsidP="00E964CC">
                      <w:pPr>
                        <w:jc w:val="center"/>
                        <w:rPr>
                          <w:sz w:val="28"/>
                          <w:szCs w:val="28"/>
                        </w:rPr>
                      </w:pPr>
                      <w:r w:rsidRPr="0041574E">
                        <w:rPr>
                          <w:sz w:val="28"/>
                          <w:szCs w:val="28"/>
                        </w:rPr>
                        <w:t>Спецификация</w:t>
                      </w:r>
                    </w:p>
                    <w:p w:rsidR="00E964CC" w:rsidRPr="00E964CC" w:rsidRDefault="005A0692" w:rsidP="00E964CC">
                      <w:pPr>
                        <w:spacing w:after="0"/>
                        <w:jc w:val="center"/>
                        <w:rPr>
                          <w:b/>
                          <w:sz w:val="28"/>
                          <w:szCs w:val="28"/>
                        </w:rPr>
                      </w:pPr>
                      <w:r>
                        <w:rPr>
                          <w:b/>
                          <w:sz w:val="28"/>
                          <w:szCs w:val="28"/>
                        </w:rPr>
                        <w:t>Мусс-Суфле Клубника, Крем-Брюле, Персик, Пломбир</w:t>
                      </w:r>
                    </w:p>
                    <w:p w:rsidR="00E964CC" w:rsidRPr="00E964CC" w:rsidRDefault="00E964CC" w:rsidP="00E964CC">
                      <w:pPr>
                        <w:spacing w:after="0" w:line="240" w:lineRule="auto"/>
                        <w:jc w:val="center"/>
                        <w:rPr>
                          <w:rFonts w:ascii="Calibri" w:eastAsia="Times New Roman" w:hAnsi="Calibri" w:cs="Times New Roman"/>
                          <w:color w:val="000000"/>
                          <w:sz w:val="24"/>
                          <w:szCs w:val="24"/>
                          <w:lang w:eastAsia="ru-RU"/>
                        </w:rPr>
                      </w:pPr>
                      <w:r w:rsidRPr="00E964CC">
                        <w:rPr>
                          <w:rFonts w:ascii="Calibri" w:eastAsia="Times New Roman" w:hAnsi="Calibri" w:cs="Times New Roman"/>
                          <w:color w:val="000000"/>
                          <w:sz w:val="24"/>
                          <w:szCs w:val="24"/>
                          <w:lang w:eastAsia="ru-RU"/>
                        </w:rPr>
                        <w:t>Полуфабрикаты сахаристые кондитерские "ЮНЕКС"</w:t>
                      </w:r>
                    </w:p>
                    <w:p w:rsidR="00E964CC" w:rsidRPr="00E964CC" w:rsidRDefault="00E964CC" w:rsidP="00E964CC">
                      <w:pPr>
                        <w:spacing w:after="0" w:line="240" w:lineRule="auto"/>
                        <w:jc w:val="center"/>
                        <w:rPr>
                          <w:rFonts w:ascii="Calibri" w:eastAsia="Times New Roman" w:hAnsi="Calibri" w:cs="Times New Roman"/>
                          <w:color w:val="000000"/>
                          <w:sz w:val="24"/>
                          <w:szCs w:val="24"/>
                          <w:lang w:eastAsia="ru-RU"/>
                        </w:rPr>
                      </w:pPr>
                      <w:r w:rsidRPr="00E964CC">
                        <w:rPr>
                          <w:rFonts w:ascii="Calibri" w:eastAsia="Times New Roman" w:hAnsi="Calibri" w:cs="Times New Roman"/>
                          <w:color w:val="000000"/>
                          <w:sz w:val="24"/>
                          <w:szCs w:val="24"/>
                          <w:lang w:eastAsia="ru-RU"/>
                        </w:rPr>
                        <w:t>ТУ 10.81.13-002-19340454-2018</w:t>
                      </w:r>
                    </w:p>
                    <w:p w:rsidR="00E964CC" w:rsidRPr="00E964CC" w:rsidRDefault="00E964CC" w:rsidP="00E964CC">
                      <w:pPr>
                        <w:jc w:val="center"/>
                        <w:rPr>
                          <w:sz w:val="24"/>
                          <w:szCs w:val="24"/>
                        </w:rPr>
                      </w:pPr>
                    </w:p>
                  </w:txbxContent>
                </v:textbox>
              </v:shape>
            </w:pict>
          </mc:Fallback>
        </mc:AlternateContent>
      </w:r>
      <w:r w:rsidR="00A231EE">
        <w:rPr>
          <w:b/>
          <w:noProof/>
          <w:lang w:eastAsia="ru-RU"/>
        </w:rPr>
        <w:t xml:space="preserve">     </w:t>
      </w:r>
      <w:r>
        <w:rPr>
          <w:b/>
          <w:noProof/>
          <w:color w:val="0070C0"/>
          <w:sz w:val="48"/>
          <w:szCs w:val="48"/>
          <w:lang w:eastAsia="ru-RU"/>
        </w:rPr>
        <w:drawing>
          <wp:inline distT="0" distB="0" distL="0" distR="0" wp14:anchorId="3A6052B6" wp14:editId="1C51E0BE">
            <wp:extent cx="1323975" cy="12766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276690"/>
                    </a:xfrm>
                    <a:prstGeom prst="rect">
                      <a:avLst/>
                    </a:prstGeom>
                    <a:noFill/>
                  </pic:spPr>
                </pic:pic>
              </a:graphicData>
            </a:graphic>
          </wp:inline>
        </w:drawing>
      </w:r>
      <w:r w:rsidR="00A231EE">
        <w:rPr>
          <w:b/>
          <w:noProof/>
          <w:lang w:eastAsia="ru-RU"/>
        </w:rPr>
        <w:t xml:space="preserve">                        </w:t>
      </w:r>
      <w:r w:rsidR="00EC431D">
        <w:rPr>
          <w:b/>
          <w:noProof/>
          <w:lang w:eastAsia="ru-RU"/>
        </w:rPr>
        <w:t xml:space="preserve">                    </w:t>
      </w:r>
      <w:r w:rsidR="00A231EE">
        <w:rPr>
          <w:b/>
          <w:noProof/>
          <w:lang w:eastAsia="ru-RU"/>
        </w:rPr>
        <w:t xml:space="preserve"> </w:t>
      </w:r>
    </w:p>
    <w:p w:rsidR="005A0692" w:rsidRPr="00257C73" w:rsidRDefault="005A0692" w:rsidP="005A0692">
      <w:pPr>
        <w:spacing w:after="0"/>
        <w:jc w:val="both"/>
        <w:rPr>
          <w:rFonts w:ascii="Times New Roman" w:hAnsi="Times New Roman" w:cs="Times New Roman"/>
          <w:sz w:val="20"/>
          <w:szCs w:val="20"/>
        </w:rPr>
      </w:pPr>
      <w:r w:rsidRPr="00257C73">
        <w:rPr>
          <w:rFonts w:ascii="Times New Roman" w:hAnsi="Times New Roman" w:cs="Times New Roman"/>
          <w:sz w:val="20"/>
          <w:szCs w:val="20"/>
          <w:u w:val="single"/>
        </w:rPr>
        <w:t>Состав продукта:</w:t>
      </w:r>
      <w:r w:rsidRPr="00257C73">
        <w:rPr>
          <w:rFonts w:ascii="Times New Roman" w:hAnsi="Times New Roman" w:cs="Times New Roman"/>
          <w:sz w:val="20"/>
          <w:szCs w:val="20"/>
        </w:rPr>
        <w:t xml:space="preserve"> пудра сахарная, глюкоза, декстроза, желатин, молочные белки, взбивающий агент (молочный белок, жир кокосовый, эмульгатор Е472а), соль пищевая, кислота лимонная (Е330), консервант (Е211), порошок свеклы, ароматизаторы пищевые (Ванилин, Масло, Сгущенное молоко, Клубника), краситель бета-каротин (Е160а).</w:t>
      </w:r>
    </w:p>
    <w:p w:rsidR="005A0692" w:rsidRPr="00257C73" w:rsidRDefault="005A0692" w:rsidP="005A0692">
      <w:pPr>
        <w:spacing w:after="0"/>
        <w:jc w:val="both"/>
        <w:rPr>
          <w:rFonts w:ascii="Times New Roman" w:hAnsi="Times New Roman" w:cs="Times New Roman"/>
          <w:sz w:val="20"/>
          <w:szCs w:val="20"/>
        </w:rPr>
      </w:pPr>
      <w:r w:rsidRPr="00257C73">
        <w:rPr>
          <w:rFonts w:ascii="Times New Roman" w:hAnsi="Times New Roman" w:cs="Times New Roman"/>
          <w:sz w:val="20"/>
          <w:szCs w:val="20"/>
        </w:rPr>
        <w:br/>
      </w:r>
      <w:r w:rsidRPr="00257C73">
        <w:rPr>
          <w:rFonts w:ascii="Times New Roman" w:hAnsi="Times New Roman" w:cs="Times New Roman"/>
          <w:sz w:val="20"/>
          <w:szCs w:val="20"/>
          <w:u w:val="single"/>
        </w:rPr>
        <w:t xml:space="preserve">Энергетическая и пищевая ценность на 100гр продукта: </w:t>
      </w:r>
      <w:r w:rsidRPr="00257C73">
        <w:rPr>
          <w:rFonts w:ascii="Times New Roman" w:hAnsi="Times New Roman" w:cs="Times New Roman"/>
          <w:sz w:val="20"/>
          <w:szCs w:val="20"/>
        </w:rPr>
        <w:t xml:space="preserve">1606 кДж/384 </w:t>
      </w:r>
      <w:proofErr w:type="spellStart"/>
      <w:r w:rsidRPr="00257C73">
        <w:rPr>
          <w:rFonts w:ascii="Times New Roman" w:hAnsi="Times New Roman" w:cs="Times New Roman"/>
          <w:sz w:val="20"/>
          <w:szCs w:val="20"/>
        </w:rPr>
        <w:t>кКал</w:t>
      </w:r>
      <w:proofErr w:type="spellEnd"/>
    </w:p>
    <w:p w:rsidR="005A0692" w:rsidRPr="00257C73" w:rsidRDefault="005A0692" w:rsidP="005A0692">
      <w:pPr>
        <w:spacing w:after="0"/>
        <w:jc w:val="both"/>
        <w:rPr>
          <w:rFonts w:ascii="Times New Roman" w:hAnsi="Times New Roman" w:cs="Times New Roman"/>
          <w:sz w:val="20"/>
          <w:szCs w:val="20"/>
        </w:rPr>
      </w:pPr>
      <w:r w:rsidRPr="00257C73">
        <w:rPr>
          <w:rFonts w:ascii="Times New Roman" w:hAnsi="Times New Roman" w:cs="Times New Roman"/>
          <w:sz w:val="20"/>
          <w:szCs w:val="20"/>
        </w:rPr>
        <w:t xml:space="preserve"> Белки – 6г</w:t>
      </w:r>
    </w:p>
    <w:p w:rsidR="005A0692" w:rsidRPr="00257C73" w:rsidRDefault="005A0692" w:rsidP="005A0692">
      <w:pPr>
        <w:spacing w:after="0"/>
        <w:jc w:val="both"/>
        <w:rPr>
          <w:rFonts w:ascii="Times New Roman" w:hAnsi="Times New Roman" w:cs="Times New Roman"/>
          <w:sz w:val="20"/>
          <w:szCs w:val="20"/>
        </w:rPr>
      </w:pPr>
      <w:r w:rsidRPr="00257C73">
        <w:rPr>
          <w:rFonts w:ascii="Times New Roman" w:hAnsi="Times New Roman" w:cs="Times New Roman"/>
          <w:sz w:val="20"/>
          <w:szCs w:val="20"/>
        </w:rPr>
        <w:t xml:space="preserve"> Жиры – 8г</w:t>
      </w:r>
    </w:p>
    <w:p w:rsidR="005A0692" w:rsidRPr="00257C73" w:rsidRDefault="005A0692" w:rsidP="005A0692">
      <w:pPr>
        <w:spacing w:after="0"/>
        <w:jc w:val="both"/>
        <w:rPr>
          <w:rFonts w:ascii="Times New Roman" w:hAnsi="Times New Roman" w:cs="Times New Roman"/>
          <w:sz w:val="20"/>
          <w:szCs w:val="20"/>
        </w:rPr>
      </w:pPr>
      <w:r w:rsidRPr="00257C73">
        <w:rPr>
          <w:rFonts w:ascii="Times New Roman" w:hAnsi="Times New Roman" w:cs="Times New Roman"/>
          <w:sz w:val="20"/>
          <w:szCs w:val="20"/>
        </w:rPr>
        <w:t xml:space="preserve"> Углеводы – 72 г</w:t>
      </w:r>
    </w:p>
    <w:p w:rsidR="00E964CC" w:rsidRPr="00681EA4" w:rsidRDefault="00E964CC" w:rsidP="00E964CC">
      <w:pPr>
        <w:spacing w:after="0"/>
        <w:rPr>
          <w:rFonts w:ascii="Times New Roman" w:hAnsi="Times New Roman" w:cs="Times New Roman"/>
          <w:sz w:val="20"/>
          <w:szCs w:val="20"/>
        </w:rPr>
      </w:pPr>
      <w:r w:rsidRPr="00681EA4">
        <w:rPr>
          <w:rFonts w:ascii="Times New Roman" w:hAnsi="Times New Roman" w:cs="Times New Roman"/>
          <w:sz w:val="20"/>
          <w:szCs w:val="20"/>
        </w:rPr>
        <w:t>Расчётные значения пищевой       ценности могут отличаться от фактических значений в зависимости от применяемого сырья</w:t>
      </w:r>
      <w:r w:rsidR="00343FF4" w:rsidRPr="00681EA4">
        <w:rPr>
          <w:rFonts w:ascii="Times New Roman" w:hAnsi="Times New Roman" w:cs="Times New Roman"/>
          <w:sz w:val="20"/>
          <w:szCs w:val="20"/>
        </w:rPr>
        <w:t>.</w:t>
      </w:r>
    </w:p>
    <w:p w:rsidR="00343FF4" w:rsidRPr="007F0FE4" w:rsidRDefault="00343FF4" w:rsidP="00E964CC">
      <w:pPr>
        <w:spacing w:after="0"/>
        <w:rPr>
          <w:rFonts w:ascii="Times New Roman" w:hAnsi="Times New Roman" w:cs="Times New Roman"/>
          <w:sz w:val="20"/>
          <w:szCs w:val="20"/>
        </w:rPr>
      </w:pPr>
      <w:r w:rsidRPr="007F0FE4">
        <w:rPr>
          <w:rFonts w:ascii="Times New Roman" w:hAnsi="Times New Roman" w:cs="Times New Roman"/>
          <w:b/>
          <w:sz w:val="20"/>
          <w:szCs w:val="20"/>
        </w:rPr>
        <w:t>Способ применения:</w:t>
      </w:r>
      <w:r w:rsidRPr="007F0FE4">
        <w:rPr>
          <w:rFonts w:ascii="Times New Roman" w:hAnsi="Times New Roman" w:cs="Times New Roman"/>
          <w:sz w:val="20"/>
          <w:szCs w:val="20"/>
        </w:rPr>
        <w:t xml:space="preserve"> </w:t>
      </w:r>
      <w:r w:rsidR="002116B2">
        <w:rPr>
          <w:rFonts w:ascii="Times New Roman" w:hAnsi="Times New Roman" w:cs="Times New Roman"/>
          <w:sz w:val="20"/>
          <w:szCs w:val="20"/>
        </w:rPr>
        <w:t>согласно рецептуре.</w:t>
      </w:r>
    </w:p>
    <w:p w:rsidR="00E964CC" w:rsidRPr="00F51372" w:rsidRDefault="00E964CC" w:rsidP="00E964CC">
      <w:pPr>
        <w:suppressAutoHyphens/>
        <w:jc w:val="both"/>
        <w:outlineLvl w:val="2"/>
        <w:rPr>
          <w:rFonts w:ascii="Times New Roman" w:hAnsi="Times New Roman" w:cs="Times New Roman"/>
          <w:sz w:val="20"/>
          <w:szCs w:val="20"/>
        </w:rPr>
      </w:pPr>
      <w:r w:rsidRPr="00F51372">
        <w:rPr>
          <w:rFonts w:ascii="Times New Roman" w:hAnsi="Times New Roman" w:cs="Times New Roman"/>
          <w:b/>
          <w:sz w:val="20"/>
          <w:szCs w:val="20"/>
        </w:rPr>
        <w:t xml:space="preserve">Срок годности и условия хранения: </w:t>
      </w:r>
      <w:r w:rsidRPr="00F51372">
        <w:rPr>
          <w:rFonts w:ascii="Times New Roman" w:hAnsi="Times New Roman" w:cs="Times New Roman"/>
          <w:sz w:val="20"/>
          <w:szCs w:val="20"/>
        </w:rPr>
        <w:t>12 месяцев со дня выработки при температуре окружающей среды не более 25°С и относительной влажности воздуха не более 70%.</w:t>
      </w:r>
    </w:p>
    <w:p w:rsidR="00E964CC" w:rsidRPr="00F51372" w:rsidRDefault="00E964CC" w:rsidP="00E964CC">
      <w:pPr>
        <w:suppressAutoHyphens/>
        <w:jc w:val="both"/>
        <w:outlineLvl w:val="2"/>
        <w:rPr>
          <w:rFonts w:ascii="Times New Roman" w:hAnsi="Times New Roman" w:cs="Times New Roman"/>
          <w:b/>
          <w:sz w:val="20"/>
          <w:szCs w:val="20"/>
        </w:rPr>
      </w:pPr>
      <w:r w:rsidRPr="00F51372">
        <w:rPr>
          <w:rFonts w:ascii="Times New Roman" w:hAnsi="Times New Roman" w:cs="Times New Roman"/>
          <w:b/>
          <w:sz w:val="20"/>
          <w:szCs w:val="20"/>
        </w:rPr>
        <w:t>Условия транспортировки:</w:t>
      </w:r>
      <w:r w:rsidRPr="00F51372">
        <w:rPr>
          <w:rFonts w:ascii="Times New Roman" w:hAnsi="Times New Roman" w:cs="Times New Roman"/>
          <w:sz w:val="20"/>
          <w:szCs w:val="20"/>
        </w:rPr>
        <w:t xml:space="preserve"> Транспортные средства, используемые для транспортировки продукции, должны быть чистыми, сухими, не зараженными вредителями хлебных запасов, без посторонних запахов. Во время погрузки, перевозки и разгрузки продукция должна быть защищена от атмосферных осадков и др. в соответствии с маркировкой на упаковке</w:t>
      </w:r>
      <w:r w:rsidRPr="00F51372">
        <w:rPr>
          <w:rFonts w:ascii="Times New Roman" w:hAnsi="Times New Roman" w:cs="Times New Roman"/>
          <w:sz w:val="20"/>
          <w:szCs w:val="20"/>
        </w:rPr>
        <w:br/>
        <w:t>При изготовлении смесей не используется сырьё, полученное с применением ГМИ.</w:t>
      </w:r>
      <w:r w:rsidRPr="00F51372">
        <w:rPr>
          <w:rFonts w:ascii="Times New Roman" w:hAnsi="Times New Roman" w:cs="Times New Roman"/>
          <w:sz w:val="20"/>
          <w:szCs w:val="20"/>
        </w:rPr>
        <w:br/>
      </w:r>
      <w:r w:rsidRPr="00F51372">
        <w:rPr>
          <w:rFonts w:ascii="Times New Roman" w:hAnsi="Times New Roman" w:cs="Times New Roman"/>
          <w:b/>
          <w:sz w:val="20"/>
          <w:szCs w:val="20"/>
        </w:rPr>
        <w:t>Не предназначено для розничной продажи</w:t>
      </w:r>
    </w:p>
    <w:tbl>
      <w:tblPr>
        <w:tblpPr w:leftFromText="180" w:rightFromText="180" w:vertAnchor="text" w:horzAnchor="margin" w:tblpY="670"/>
        <w:tblW w:w="10632" w:type="dxa"/>
        <w:tblLayout w:type="fixed"/>
        <w:tblLook w:val="0000" w:firstRow="0" w:lastRow="0" w:firstColumn="0" w:lastColumn="0" w:noHBand="0" w:noVBand="0"/>
      </w:tblPr>
      <w:tblGrid>
        <w:gridCol w:w="1673"/>
        <w:gridCol w:w="780"/>
        <w:gridCol w:w="2792"/>
        <w:gridCol w:w="3935"/>
        <w:gridCol w:w="1423"/>
        <w:gridCol w:w="29"/>
      </w:tblGrid>
      <w:tr w:rsidR="000D4B0C" w:rsidRPr="009B6AE8" w:rsidTr="000D4B0C">
        <w:trPr>
          <w:gridAfter w:val="1"/>
          <w:wAfter w:w="29" w:type="dxa"/>
          <w:trHeight w:val="498"/>
        </w:trPr>
        <w:tc>
          <w:tcPr>
            <w:tcW w:w="1673" w:type="dxa"/>
            <w:tcBorders>
              <w:top w:val="single" w:sz="4" w:space="0" w:color="auto"/>
              <w:left w:val="single" w:sz="4" w:space="0" w:color="auto"/>
              <w:bottom w:val="single" w:sz="4" w:space="0" w:color="auto"/>
            </w:tcBorders>
          </w:tcPr>
          <w:p w:rsidR="000D4B0C" w:rsidRPr="009B6AE8" w:rsidRDefault="000D4B0C" w:rsidP="000D4B0C">
            <w:pPr>
              <w:pStyle w:val="a9"/>
              <w:spacing w:before="0"/>
              <w:rPr>
                <w:color w:val="000000"/>
                <w:sz w:val="20"/>
              </w:rPr>
            </w:pPr>
            <w:r w:rsidRPr="009B6AE8">
              <w:rPr>
                <w:color w:val="000000"/>
                <w:sz w:val="20"/>
              </w:rPr>
              <w:t>Внешний вид</w:t>
            </w:r>
          </w:p>
        </w:tc>
        <w:tc>
          <w:tcPr>
            <w:tcW w:w="8930" w:type="dxa"/>
            <w:gridSpan w:val="4"/>
            <w:tcBorders>
              <w:top w:val="single" w:sz="4" w:space="0" w:color="auto"/>
              <w:left w:val="single" w:sz="6" w:space="0" w:color="auto"/>
              <w:bottom w:val="single" w:sz="4" w:space="0" w:color="auto"/>
              <w:right w:val="single" w:sz="6" w:space="0" w:color="auto"/>
            </w:tcBorders>
          </w:tcPr>
          <w:p w:rsidR="000D4B0C" w:rsidRPr="009B6AE8" w:rsidRDefault="000D4B0C" w:rsidP="000D4B0C">
            <w:pPr>
              <w:rPr>
                <w:sz w:val="20"/>
                <w:szCs w:val="20"/>
              </w:rPr>
            </w:pPr>
            <w:r w:rsidRPr="009B6AE8">
              <w:rPr>
                <w:sz w:val="20"/>
                <w:szCs w:val="20"/>
              </w:rPr>
              <w:t>Однородная, порошкообразная сыпучая смесь</w:t>
            </w:r>
            <w:bookmarkStart w:id="0" w:name="_GoBack"/>
            <w:bookmarkEnd w:id="0"/>
            <w:r w:rsidRPr="009B6AE8">
              <w:rPr>
                <w:sz w:val="20"/>
                <w:szCs w:val="20"/>
              </w:rPr>
              <w:t xml:space="preserve">, допускается лёгкое </w:t>
            </w:r>
            <w:proofErr w:type="spellStart"/>
            <w:r w:rsidRPr="009B6AE8">
              <w:rPr>
                <w:sz w:val="20"/>
                <w:szCs w:val="20"/>
              </w:rPr>
              <w:t>комкование</w:t>
            </w:r>
            <w:proofErr w:type="spellEnd"/>
            <w:r w:rsidRPr="009B6AE8">
              <w:rPr>
                <w:sz w:val="20"/>
                <w:szCs w:val="20"/>
              </w:rPr>
              <w:t xml:space="preserve"> (неплотно слежавшиеся комочки).  </w:t>
            </w:r>
          </w:p>
        </w:tc>
      </w:tr>
      <w:tr w:rsidR="000D4B0C" w:rsidRPr="009B6AE8" w:rsidTr="000D4B0C">
        <w:trPr>
          <w:gridAfter w:val="1"/>
          <w:wAfter w:w="29" w:type="dxa"/>
          <w:trHeight w:val="498"/>
        </w:trPr>
        <w:tc>
          <w:tcPr>
            <w:tcW w:w="1673" w:type="dxa"/>
            <w:tcBorders>
              <w:top w:val="single" w:sz="4" w:space="0" w:color="auto"/>
              <w:left w:val="single" w:sz="4" w:space="0" w:color="auto"/>
              <w:bottom w:val="single" w:sz="4" w:space="0" w:color="auto"/>
            </w:tcBorders>
          </w:tcPr>
          <w:p w:rsidR="000D4B0C" w:rsidRPr="009B6AE8" w:rsidRDefault="000D4B0C" w:rsidP="000D4B0C">
            <w:pPr>
              <w:pStyle w:val="a9"/>
              <w:spacing w:before="0"/>
              <w:rPr>
                <w:color w:val="000000"/>
                <w:sz w:val="20"/>
              </w:rPr>
            </w:pPr>
            <w:r w:rsidRPr="009B6AE8">
              <w:rPr>
                <w:color w:val="000000"/>
                <w:sz w:val="20"/>
              </w:rPr>
              <w:t>Цвет</w:t>
            </w:r>
          </w:p>
        </w:tc>
        <w:tc>
          <w:tcPr>
            <w:tcW w:w="8930" w:type="dxa"/>
            <w:gridSpan w:val="4"/>
            <w:tcBorders>
              <w:top w:val="single" w:sz="4" w:space="0" w:color="auto"/>
              <w:left w:val="single" w:sz="6" w:space="0" w:color="auto"/>
              <w:bottom w:val="single" w:sz="4" w:space="0" w:color="auto"/>
              <w:right w:val="single" w:sz="6" w:space="0" w:color="auto"/>
            </w:tcBorders>
          </w:tcPr>
          <w:p w:rsidR="000D4B0C" w:rsidRPr="009B6AE8" w:rsidRDefault="000D4B0C" w:rsidP="000D4B0C">
            <w:pPr>
              <w:rPr>
                <w:sz w:val="20"/>
                <w:szCs w:val="20"/>
              </w:rPr>
            </w:pPr>
            <w:r w:rsidRPr="009B6AE8">
              <w:rPr>
                <w:sz w:val="20"/>
                <w:szCs w:val="20"/>
              </w:rPr>
              <w:t>Белый или белый с кремовым или желтоватым оттенком</w:t>
            </w:r>
          </w:p>
        </w:tc>
      </w:tr>
      <w:tr w:rsidR="000D4B0C" w:rsidRPr="009B6AE8" w:rsidTr="000D4B0C">
        <w:trPr>
          <w:gridAfter w:val="1"/>
          <w:wAfter w:w="29" w:type="dxa"/>
          <w:trHeight w:val="498"/>
        </w:trPr>
        <w:tc>
          <w:tcPr>
            <w:tcW w:w="1673" w:type="dxa"/>
            <w:tcBorders>
              <w:top w:val="single" w:sz="4" w:space="0" w:color="auto"/>
              <w:left w:val="single" w:sz="4" w:space="0" w:color="auto"/>
              <w:bottom w:val="single" w:sz="4" w:space="0" w:color="auto"/>
            </w:tcBorders>
          </w:tcPr>
          <w:p w:rsidR="000D4B0C" w:rsidRPr="009B6AE8" w:rsidRDefault="000D4B0C" w:rsidP="000D4B0C">
            <w:pPr>
              <w:pStyle w:val="a9"/>
              <w:spacing w:before="0"/>
              <w:rPr>
                <w:color w:val="000000"/>
                <w:sz w:val="20"/>
              </w:rPr>
            </w:pPr>
            <w:r w:rsidRPr="009B6AE8">
              <w:rPr>
                <w:color w:val="000000"/>
                <w:sz w:val="20"/>
              </w:rPr>
              <w:t>Запах</w:t>
            </w:r>
          </w:p>
        </w:tc>
        <w:tc>
          <w:tcPr>
            <w:tcW w:w="8930" w:type="dxa"/>
            <w:gridSpan w:val="4"/>
            <w:tcBorders>
              <w:top w:val="single" w:sz="4" w:space="0" w:color="auto"/>
              <w:left w:val="single" w:sz="6" w:space="0" w:color="auto"/>
              <w:bottom w:val="single" w:sz="4" w:space="0" w:color="auto"/>
              <w:right w:val="single" w:sz="6" w:space="0" w:color="auto"/>
            </w:tcBorders>
          </w:tcPr>
          <w:p w:rsidR="000D4B0C" w:rsidRPr="009B6AE8" w:rsidRDefault="000D4B0C" w:rsidP="000D4B0C">
            <w:pPr>
              <w:rPr>
                <w:sz w:val="20"/>
                <w:szCs w:val="20"/>
              </w:rPr>
            </w:pPr>
            <w:r w:rsidRPr="009B6AE8">
              <w:rPr>
                <w:sz w:val="20"/>
                <w:szCs w:val="20"/>
              </w:rPr>
              <w:t>Соответствующий, внесенным вкусо-ароматным продуктам, не затхлый, не плесневелый</w:t>
            </w:r>
          </w:p>
        </w:tc>
      </w:tr>
      <w:tr w:rsidR="000D4B0C" w:rsidRPr="00F06293" w:rsidTr="000D4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5"/>
        </w:trPr>
        <w:tc>
          <w:tcPr>
            <w:tcW w:w="9180" w:type="dxa"/>
            <w:gridSpan w:val="4"/>
            <w:tcBorders>
              <w:top w:val="double" w:sz="4" w:space="0" w:color="auto"/>
              <w:bottom w:val="nil"/>
            </w:tcBorders>
          </w:tcPr>
          <w:p w:rsidR="000D4B0C" w:rsidRPr="00F06293" w:rsidRDefault="000D4B0C" w:rsidP="000D4B0C">
            <w:pPr>
              <w:tabs>
                <w:tab w:val="left" w:pos="0"/>
              </w:tabs>
              <w:spacing w:after="0"/>
              <w:jc w:val="both"/>
              <w:rPr>
                <w:sz w:val="20"/>
                <w:szCs w:val="20"/>
              </w:rPr>
            </w:pPr>
            <w:r w:rsidRPr="00F06293">
              <w:rPr>
                <w:sz w:val="20"/>
                <w:szCs w:val="20"/>
              </w:rPr>
              <w:t xml:space="preserve">Массовая доля </w:t>
            </w:r>
            <w:proofErr w:type="gramStart"/>
            <w:r w:rsidRPr="00F06293">
              <w:rPr>
                <w:sz w:val="20"/>
                <w:szCs w:val="20"/>
              </w:rPr>
              <w:t>влаги ,</w:t>
            </w:r>
            <w:proofErr w:type="gramEnd"/>
            <w:r w:rsidRPr="00F06293">
              <w:rPr>
                <w:sz w:val="20"/>
                <w:szCs w:val="20"/>
              </w:rPr>
              <w:t xml:space="preserve"> %, не более</w:t>
            </w:r>
          </w:p>
        </w:tc>
        <w:tc>
          <w:tcPr>
            <w:tcW w:w="1423" w:type="dxa"/>
            <w:tcBorders>
              <w:top w:val="double" w:sz="4" w:space="0" w:color="auto"/>
              <w:bottom w:val="nil"/>
            </w:tcBorders>
          </w:tcPr>
          <w:p w:rsidR="000D4B0C" w:rsidRPr="00F06293" w:rsidRDefault="000D4B0C" w:rsidP="000D4B0C">
            <w:pPr>
              <w:tabs>
                <w:tab w:val="left" w:pos="0"/>
              </w:tabs>
              <w:spacing w:after="0"/>
              <w:jc w:val="center"/>
              <w:rPr>
                <w:sz w:val="20"/>
                <w:szCs w:val="20"/>
              </w:rPr>
            </w:pPr>
            <w:r w:rsidRPr="00F06293">
              <w:rPr>
                <w:sz w:val="20"/>
                <w:szCs w:val="20"/>
              </w:rPr>
              <w:t>15,0</w:t>
            </w:r>
          </w:p>
        </w:tc>
      </w:tr>
      <w:tr w:rsidR="000D4B0C" w:rsidRPr="00F06293" w:rsidTr="000D4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677"/>
        </w:trPr>
        <w:tc>
          <w:tcPr>
            <w:tcW w:w="9180" w:type="dxa"/>
            <w:gridSpan w:val="4"/>
          </w:tcPr>
          <w:p w:rsidR="000D4B0C" w:rsidRPr="00F06293" w:rsidRDefault="000D4B0C" w:rsidP="000D4B0C">
            <w:pPr>
              <w:tabs>
                <w:tab w:val="left" w:pos="0"/>
              </w:tabs>
              <w:spacing w:after="0"/>
              <w:jc w:val="both"/>
              <w:rPr>
                <w:sz w:val="20"/>
                <w:szCs w:val="20"/>
              </w:rPr>
            </w:pPr>
            <w:r w:rsidRPr="00F06293">
              <w:rPr>
                <w:sz w:val="20"/>
                <w:szCs w:val="20"/>
              </w:rPr>
              <w:t xml:space="preserve">Массовая доля металломагнитных примесей (размер отдельных частиц не должен превышать 0,3 мм в наибольшем линейном измерении) %, не более </w:t>
            </w:r>
          </w:p>
        </w:tc>
        <w:tc>
          <w:tcPr>
            <w:tcW w:w="1423" w:type="dxa"/>
            <w:tcBorders>
              <w:left w:val="nil"/>
            </w:tcBorders>
          </w:tcPr>
          <w:p w:rsidR="000D4B0C" w:rsidRPr="00F06293" w:rsidRDefault="000D4B0C" w:rsidP="000D4B0C">
            <w:pPr>
              <w:tabs>
                <w:tab w:val="left" w:pos="0"/>
              </w:tabs>
              <w:spacing w:after="0"/>
              <w:jc w:val="center"/>
              <w:rPr>
                <w:sz w:val="20"/>
                <w:szCs w:val="20"/>
              </w:rPr>
            </w:pPr>
            <w:r w:rsidRPr="00F06293">
              <w:rPr>
                <w:sz w:val="20"/>
                <w:szCs w:val="20"/>
              </w:rPr>
              <w:t>3,0*10</w:t>
            </w:r>
            <w:r w:rsidRPr="00F06293">
              <w:rPr>
                <w:sz w:val="20"/>
                <w:szCs w:val="20"/>
                <w:vertAlign w:val="superscript"/>
              </w:rPr>
              <w:t>-4</w:t>
            </w:r>
          </w:p>
          <w:p w:rsidR="000D4B0C" w:rsidRPr="00F06293" w:rsidRDefault="000D4B0C" w:rsidP="000D4B0C">
            <w:pPr>
              <w:tabs>
                <w:tab w:val="left" w:pos="0"/>
              </w:tabs>
              <w:spacing w:after="0"/>
              <w:jc w:val="center"/>
              <w:rPr>
                <w:sz w:val="20"/>
                <w:szCs w:val="20"/>
              </w:rPr>
            </w:pPr>
            <w:r w:rsidRPr="00F06293">
              <w:rPr>
                <w:sz w:val="20"/>
                <w:szCs w:val="20"/>
              </w:rPr>
              <w:t xml:space="preserve"> </w:t>
            </w:r>
          </w:p>
        </w:tc>
      </w:tr>
      <w:tr w:rsidR="000D4B0C" w:rsidRPr="00F06293" w:rsidTr="000D4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70"/>
        </w:trPr>
        <w:tc>
          <w:tcPr>
            <w:tcW w:w="9180" w:type="dxa"/>
            <w:gridSpan w:val="4"/>
          </w:tcPr>
          <w:p w:rsidR="000D4B0C" w:rsidRPr="00F06293" w:rsidRDefault="000D4B0C" w:rsidP="000D4B0C">
            <w:pPr>
              <w:tabs>
                <w:tab w:val="left" w:pos="0"/>
              </w:tabs>
              <w:spacing w:after="0"/>
              <w:jc w:val="both"/>
              <w:rPr>
                <w:sz w:val="20"/>
                <w:szCs w:val="20"/>
              </w:rPr>
            </w:pPr>
            <w:r w:rsidRPr="00F06293">
              <w:rPr>
                <w:sz w:val="20"/>
                <w:szCs w:val="20"/>
              </w:rPr>
              <w:t>Загрязненность, зараженность вредителями хлебных злаков (насекомые, клещи)</w:t>
            </w:r>
          </w:p>
        </w:tc>
        <w:tc>
          <w:tcPr>
            <w:tcW w:w="1423" w:type="dxa"/>
            <w:tcBorders>
              <w:left w:val="nil"/>
            </w:tcBorders>
          </w:tcPr>
          <w:p w:rsidR="000D4B0C" w:rsidRPr="00F06293" w:rsidRDefault="000D4B0C" w:rsidP="000D4B0C">
            <w:pPr>
              <w:tabs>
                <w:tab w:val="left" w:pos="0"/>
              </w:tabs>
              <w:spacing w:after="0"/>
              <w:jc w:val="center"/>
              <w:rPr>
                <w:sz w:val="20"/>
                <w:szCs w:val="20"/>
              </w:rPr>
            </w:pPr>
            <w:r w:rsidRPr="00F06293">
              <w:rPr>
                <w:sz w:val="20"/>
                <w:szCs w:val="20"/>
              </w:rPr>
              <w:t>не допускается</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c>
          <w:tcPr>
            <w:tcW w:w="5245" w:type="dxa"/>
            <w:gridSpan w:val="3"/>
            <w:tcBorders>
              <w:top w:val="double" w:sz="4" w:space="0" w:color="auto"/>
              <w:bottom w:val="double" w:sz="4" w:space="0" w:color="auto"/>
            </w:tcBorders>
            <w:vAlign w:val="center"/>
          </w:tcPr>
          <w:p w:rsidR="000D4B0C" w:rsidRPr="00561DD6" w:rsidRDefault="000D4B0C" w:rsidP="000D4B0C">
            <w:pPr>
              <w:pStyle w:val="2"/>
              <w:spacing w:after="0" w:line="240" w:lineRule="auto"/>
              <w:ind w:left="0"/>
              <w:jc w:val="center"/>
              <w:rPr>
                <w:b/>
              </w:rPr>
            </w:pPr>
            <w:r w:rsidRPr="00561DD6">
              <w:rPr>
                <w:b/>
              </w:rPr>
              <w:t>Наименование вещества (элемента)</w:t>
            </w:r>
          </w:p>
        </w:tc>
        <w:tc>
          <w:tcPr>
            <w:tcW w:w="5387" w:type="dxa"/>
            <w:gridSpan w:val="3"/>
            <w:tcBorders>
              <w:top w:val="double" w:sz="4" w:space="0" w:color="auto"/>
              <w:bottom w:val="double" w:sz="4" w:space="0" w:color="auto"/>
            </w:tcBorders>
            <w:vAlign w:val="center"/>
          </w:tcPr>
          <w:p w:rsidR="000D4B0C" w:rsidRPr="00561DD6" w:rsidRDefault="000D4B0C" w:rsidP="000D4B0C">
            <w:pPr>
              <w:pStyle w:val="2"/>
              <w:spacing w:after="0" w:line="240" w:lineRule="auto"/>
              <w:ind w:left="0"/>
              <w:jc w:val="center"/>
              <w:rPr>
                <w:b/>
              </w:rPr>
            </w:pPr>
            <w:r w:rsidRPr="00561DD6">
              <w:rPr>
                <w:b/>
              </w:rPr>
              <w:t>Допустимые уровни, мг/кг, не более</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rPr>
          <w:cantSplit/>
        </w:trPr>
        <w:tc>
          <w:tcPr>
            <w:tcW w:w="2453" w:type="dxa"/>
            <w:gridSpan w:val="2"/>
            <w:vMerge w:val="restart"/>
            <w:tcBorders>
              <w:top w:val="double" w:sz="4" w:space="0" w:color="auto"/>
            </w:tcBorders>
            <w:vAlign w:val="center"/>
          </w:tcPr>
          <w:p w:rsidR="000D4B0C" w:rsidRPr="00561DD6" w:rsidRDefault="000D4B0C" w:rsidP="000D4B0C">
            <w:pPr>
              <w:pStyle w:val="2"/>
              <w:spacing w:after="0" w:line="240" w:lineRule="auto"/>
              <w:ind w:left="0"/>
            </w:pPr>
            <w:r w:rsidRPr="00561DD6">
              <w:t xml:space="preserve">Токсичные </w:t>
            </w:r>
            <w:r w:rsidRPr="00561DD6">
              <w:br/>
              <w:t>элементы</w:t>
            </w:r>
          </w:p>
        </w:tc>
        <w:tc>
          <w:tcPr>
            <w:tcW w:w="2792" w:type="dxa"/>
            <w:tcBorders>
              <w:top w:val="double" w:sz="4" w:space="0" w:color="auto"/>
            </w:tcBorders>
          </w:tcPr>
          <w:p w:rsidR="000D4B0C" w:rsidRPr="00561DD6" w:rsidRDefault="000D4B0C" w:rsidP="000D4B0C">
            <w:pPr>
              <w:pStyle w:val="2"/>
              <w:spacing w:after="0" w:line="240" w:lineRule="auto"/>
              <w:ind w:left="0"/>
            </w:pPr>
            <w:r w:rsidRPr="00561DD6">
              <w:t>Свинец</w:t>
            </w:r>
          </w:p>
        </w:tc>
        <w:tc>
          <w:tcPr>
            <w:tcW w:w="5387" w:type="dxa"/>
            <w:gridSpan w:val="3"/>
            <w:tcBorders>
              <w:top w:val="double" w:sz="4" w:space="0" w:color="auto"/>
            </w:tcBorders>
          </w:tcPr>
          <w:p w:rsidR="000D4B0C" w:rsidRPr="00561DD6" w:rsidRDefault="000D4B0C" w:rsidP="000D4B0C">
            <w:pPr>
              <w:pStyle w:val="2"/>
              <w:spacing w:after="0" w:line="240" w:lineRule="auto"/>
              <w:ind w:left="0"/>
              <w:jc w:val="center"/>
            </w:pPr>
            <w:r w:rsidRPr="00561DD6">
              <w:t>0,5</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rPr>
          <w:cantSplit/>
        </w:trPr>
        <w:tc>
          <w:tcPr>
            <w:tcW w:w="2453" w:type="dxa"/>
            <w:gridSpan w:val="2"/>
            <w:vMerge/>
            <w:vAlign w:val="center"/>
          </w:tcPr>
          <w:p w:rsidR="000D4B0C" w:rsidRPr="00561DD6" w:rsidRDefault="000D4B0C" w:rsidP="000D4B0C">
            <w:pPr>
              <w:pStyle w:val="2"/>
              <w:spacing w:after="0" w:line="240" w:lineRule="auto"/>
              <w:ind w:left="0"/>
            </w:pPr>
          </w:p>
        </w:tc>
        <w:tc>
          <w:tcPr>
            <w:tcW w:w="2792" w:type="dxa"/>
          </w:tcPr>
          <w:p w:rsidR="000D4B0C" w:rsidRPr="00561DD6" w:rsidRDefault="000D4B0C" w:rsidP="000D4B0C">
            <w:pPr>
              <w:pStyle w:val="2"/>
              <w:spacing w:after="0" w:line="240" w:lineRule="auto"/>
              <w:ind w:left="0"/>
            </w:pPr>
            <w:r w:rsidRPr="00561DD6">
              <w:t>Мышьяк</w:t>
            </w:r>
          </w:p>
        </w:tc>
        <w:tc>
          <w:tcPr>
            <w:tcW w:w="5387" w:type="dxa"/>
            <w:gridSpan w:val="3"/>
          </w:tcPr>
          <w:p w:rsidR="000D4B0C" w:rsidRPr="00561DD6" w:rsidRDefault="000D4B0C" w:rsidP="000D4B0C">
            <w:pPr>
              <w:pStyle w:val="2"/>
              <w:spacing w:after="0" w:line="240" w:lineRule="auto"/>
              <w:ind w:left="0"/>
              <w:jc w:val="center"/>
            </w:pPr>
            <w:r w:rsidRPr="00561DD6">
              <w:t>1,0</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rPr>
          <w:cantSplit/>
        </w:trPr>
        <w:tc>
          <w:tcPr>
            <w:tcW w:w="2453" w:type="dxa"/>
            <w:gridSpan w:val="2"/>
            <w:vMerge/>
            <w:vAlign w:val="center"/>
          </w:tcPr>
          <w:p w:rsidR="000D4B0C" w:rsidRPr="00561DD6" w:rsidRDefault="000D4B0C" w:rsidP="000D4B0C">
            <w:pPr>
              <w:pStyle w:val="2"/>
              <w:spacing w:after="0" w:line="240" w:lineRule="auto"/>
              <w:ind w:left="0"/>
            </w:pPr>
          </w:p>
        </w:tc>
        <w:tc>
          <w:tcPr>
            <w:tcW w:w="2792" w:type="dxa"/>
          </w:tcPr>
          <w:p w:rsidR="000D4B0C" w:rsidRPr="00561DD6" w:rsidRDefault="000D4B0C" w:rsidP="000D4B0C">
            <w:pPr>
              <w:pStyle w:val="2"/>
              <w:spacing w:after="0" w:line="240" w:lineRule="auto"/>
              <w:ind w:left="0"/>
            </w:pPr>
            <w:r w:rsidRPr="00561DD6">
              <w:t>Кадмий</w:t>
            </w:r>
          </w:p>
        </w:tc>
        <w:tc>
          <w:tcPr>
            <w:tcW w:w="5387" w:type="dxa"/>
            <w:gridSpan w:val="3"/>
          </w:tcPr>
          <w:p w:rsidR="000D4B0C" w:rsidRPr="00561DD6" w:rsidRDefault="000D4B0C" w:rsidP="000D4B0C">
            <w:pPr>
              <w:pStyle w:val="2"/>
              <w:spacing w:after="0" w:line="240" w:lineRule="auto"/>
              <w:ind w:left="0"/>
              <w:jc w:val="center"/>
            </w:pPr>
            <w:r w:rsidRPr="00561DD6">
              <w:t>0,05</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rPr>
          <w:cantSplit/>
        </w:trPr>
        <w:tc>
          <w:tcPr>
            <w:tcW w:w="2453" w:type="dxa"/>
            <w:gridSpan w:val="2"/>
            <w:vMerge/>
            <w:vAlign w:val="center"/>
          </w:tcPr>
          <w:p w:rsidR="000D4B0C" w:rsidRPr="00561DD6" w:rsidRDefault="000D4B0C" w:rsidP="000D4B0C">
            <w:pPr>
              <w:pStyle w:val="2"/>
              <w:spacing w:after="0" w:line="240" w:lineRule="auto"/>
              <w:ind w:left="0"/>
            </w:pPr>
          </w:p>
        </w:tc>
        <w:tc>
          <w:tcPr>
            <w:tcW w:w="2792" w:type="dxa"/>
          </w:tcPr>
          <w:p w:rsidR="000D4B0C" w:rsidRPr="00561DD6" w:rsidRDefault="000D4B0C" w:rsidP="000D4B0C">
            <w:pPr>
              <w:pStyle w:val="2"/>
              <w:spacing w:after="0" w:line="240" w:lineRule="auto"/>
              <w:ind w:left="0"/>
            </w:pPr>
            <w:r w:rsidRPr="00561DD6">
              <w:t>Ртуть</w:t>
            </w:r>
          </w:p>
        </w:tc>
        <w:tc>
          <w:tcPr>
            <w:tcW w:w="5387" w:type="dxa"/>
            <w:gridSpan w:val="3"/>
          </w:tcPr>
          <w:p w:rsidR="000D4B0C" w:rsidRPr="00561DD6" w:rsidRDefault="000D4B0C" w:rsidP="000D4B0C">
            <w:pPr>
              <w:pStyle w:val="2"/>
              <w:spacing w:after="0" w:line="240" w:lineRule="auto"/>
              <w:ind w:left="0"/>
              <w:jc w:val="center"/>
            </w:pPr>
            <w:r w:rsidRPr="00561DD6">
              <w:t>0,01</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rPr>
          <w:cantSplit/>
        </w:trPr>
        <w:tc>
          <w:tcPr>
            <w:tcW w:w="2453" w:type="dxa"/>
            <w:gridSpan w:val="2"/>
            <w:vMerge w:val="restart"/>
            <w:vAlign w:val="center"/>
          </w:tcPr>
          <w:p w:rsidR="000D4B0C" w:rsidRPr="00561DD6" w:rsidRDefault="000D4B0C" w:rsidP="000D4B0C">
            <w:pPr>
              <w:pStyle w:val="2"/>
              <w:spacing w:after="0" w:line="240" w:lineRule="auto"/>
              <w:ind w:left="0"/>
            </w:pPr>
            <w:r w:rsidRPr="00561DD6">
              <w:t>Пестициды</w:t>
            </w:r>
          </w:p>
        </w:tc>
        <w:tc>
          <w:tcPr>
            <w:tcW w:w="2792" w:type="dxa"/>
          </w:tcPr>
          <w:p w:rsidR="000D4B0C" w:rsidRPr="00561DD6" w:rsidRDefault="000D4B0C" w:rsidP="000D4B0C">
            <w:pPr>
              <w:pStyle w:val="2"/>
              <w:spacing w:after="0" w:line="240" w:lineRule="auto"/>
              <w:ind w:left="0"/>
            </w:pPr>
            <w:proofErr w:type="spellStart"/>
            <w:r w:rsidRPr="00561DD6">
              <w:t>Гексахлорциклогексан</w:t>
            </w:r>
            <w:proofErr w:type="spellEnd"/>
            <w:r w:rsidRPr="00561DD6">
              <w:t xml:space="preserve"> (α, β, γ –изомеры)</w:t>
            </w:r>
          </w:p>
        </w:tc>
        <w:tc>
          <w:tcPr>
            <w:tcW w:w="5387" w:type="dxa"/>
            <w:gridSpan w:val="3"/>
            <w:vAlign w:val="center"/>
          </w:tcPr>
          <w:p w:rsidR="000D4B0C" w:rsidRPr="00561DD6" w:rsidRDefault="000D4B0C" w:rsidP="000D4B0C">
            <w:pPr>
              <w:pStyle w:val="2"/>
              <w:spacing w:after="0" w:line="240" w:lineRule="auto"/>
              <w:ind w:left="0"/>
              <w:jc w:val="center"/>
            </w:pPr>
            <w:r w:rsidRPr="00561DD6">
              <w:t>0,005</w:t>
            </w:r>
          </w:p>
        </w:tc>
      </w:tr>
      <w:tr w:rsidR="000D4B0C" w:rsidRPr="00561DD6" w:rsidTr="000D4B0C">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Ex>
        <w:trPr>
          <w:cantSplit/>
        </w:trPr>
        <w:tc>
          <w:tcPr>
            <w:tcW w:w="2453" w:type="dxa"/>
            <w:gridSpan w:val="2"/>
            <w:vMerge/>
            <w:vAlign w:val="center"/>
          </w:tcPr>
          <w:p w:rsidR="000D4B0C" w:rsidRPr="00561DD6" w:rsidRDefault="000D4B0C" w:rsidP="000D4B0C">
            <w:pPr>
              <w:pStyle w:val="2"/>
              <w:spacing w:after="0" w:line="240" w:lineRule="auto"/>
              <w:ind w:left="0"/>
            </w:pPr>
          </w:p>
        </w:tc>
        <w:tc>
          <w:tcPr>
            <w:tcW w:w="2792" w:type="dxa"/>
          </w:tcPr>
          <w:p w:rsidR="000D4B0C" w:rsidRPr="00561DD6" w:rsidRDefault="000D4B0C" w:rsidP="000D4B0C">
            <w:pPr>
              <w:pStyle w:val="2"/>
              <w:spacing w:after="0" w:line="240" w:lineRule="auto"/>
              <w:ind w:left="0"/>
            </w:pPr>
            <w:r w:rsidRPr="00561DD6">
              <w:t>ДДТ и его метаболиты</w:t>
            </w:r>
          </w:p>
        </w:tc>
        <w:tc>
          <w:tcPr>
            <w:tcW w:w="5387" w:type="dxa"/>
            <w:gridSpan w:val="3"/>
          </w:tcPr>
          <w:p w:rsidR="000D4B0C" w:rsidRPr="00561DD6" w:rsidRDefault="000D4B0C" w:rsidP="000D4B0C">
            <w:pPr>
              <w:pStyle w:val="2"/>
              <w:spacing w:after="0" w:line="240" w:lineRule="auto"/>
              <w:ind w:left="0"/>
              <w:jc w:val="center"/>
            </w:pPr>
            <w:r w:rsidRPr="00561DD6">
              <w:t>0,005</w:t>
            </w:r>
          </w:p>
        </w:tc>
      </w:tr>
    </w:tbl>
    <w:p w:rsidR="009B6AE8" w:rsidRPr="00F51372" w:rsidRDefault="00E964CC" w:rsidP="009B6AE8">
      <w:pPr>
        <w:spacing w:after="0"/>
        <w:rPr>
          <w:rStyle w:val="js-extracted-address"/>
          <w:rFonts w:ascii="Times New Roman" w:hAnsi="Times New Roman" w:cs="Times New Roman"/>
          <w:sz w:val="20"/>
          <w:szCs w:val="20"/>
        </w:rPr>
      </w:pPr>
      <w:r w:rsidRPr="00F51372">
        <w:rPr>
          <w:rFonts w:ascii="Times New Roman" w:hAnsi="Times New Roman" w:cs="Times New Roman"/>
          <w:sz w:val="20"/>
          <w:szCs w:val="20"/>
        </w:rPr>
        <w:t>Изготовитель: ООО «</w:t>
      </w:r>
      <w:proofErr w:type="spellStart"/>
      <w:r w:rsidRPr="00F51372">
        <w:rPr>
          <w:rFonts w:ascii="Times New Roman" w:hAnsi="Times New Roman" w:cs="Times New Roman"/>
          <w:sz w:val="20"/>
          <w:szCs w:val="20"/>
        </w:rPr>
        <w:t>Био</w:t>
      </w:r>
      <w:proofErr w:type="spellEnd"/>
      <w:r w:rsidRPr="00F51372">
        <w:rPr>
          <w:rFonts w:ascii="Times New Roman" w:hAnsi="Times New Roman" w:cs="Times New Roman"/>
          <w:sz w:val="20"/>
          <w:szCs w:val="20"/>
        </w:rPr>
        <w:t xml:space="preserve"> Техно </w:t>
      </w:r>
      <w:proofErr w:type="spellStart"/>
      <w:r w:rsidRPr="00F51372">
        <w:rPr>
          <w:rFonts w:ascii="Times New Roman" w:hAnsi="Times New Roman" w:cs="Times New Roman"/>
          <w:sz w:val="20"/>
          <w:szCs w:val="20"/>
        </w:rPr>
        <w:t>Фуд</w:t>
      </w:r>
      <w:proofErr w:type="spellEnd"/>
      <w:r w:rsidRPr="00F51372">
        <w:rPr>
          <w:rFonts w:ascii="Times New Roman" w:hAnsi="Times New Roman" w:cs="Times New Roman"/>
          <w:sz w:val="20"/>
          <w:szCs w:val="20"/>
        </w:rPr>
        <w:t>».</w:t>
      </w:r>
      <w:r w:rsidRPr="00F51372">
        <w:rPr>
          <w:rFonts w:ascii="Times New Roman" w:hAnsi="Times New Roman" w:cs="Times New Roman"/>
          <w:sz w:val="20"/>
          <w:szCs w:val="20"/>
        </w:rPr>
        <w:br/>
      </w:r>
      <w:r w:rsidR="00E80FA0" w:rsidRPr="00F51372">
        <w:rPr>
          <w:rFonts w:ascii="Times New Roman" w:hAnsi="Times New Roman" w:cs="Times New Roman"/>
          <w:sz w:val="20"/>
          <w:szCs w:val="20"/>
        </w:rPr>
        <w:t>А</w:t>
      </w:r>
      <w:r w:rsidRPr="00F51372">
        <w:rPr>
          <w:rFonts w:ascii="Times New Roman" w:hAnsi="Times New Roman" w:cs="Times New Roman"/>
          <w:sz w:val="20"/>
          <w:szCs w:val="20"/>
        </w:rPr>
        <w:t>дрес: 192213</w:t>
      </w:r>
      <w:r w:rsidRPr="00F51372">
        <w:rPr>
          <w:rStyle w:val="js-extracted-address"/>
          <w:rFonts w:ascii="Times New Roman" w:hAnsi="Times New Roman" w:cs="Times New Roman"/>
          <w:sz w:val="20"/>
          <w:szCs w:val="20"/>
        </w:rPr>
        <w:t>, г. Санкт-Петербург, ул. Складская д. 6</w:t>
      </w:r>
      <w:r w:rsidRPr="00F51372">
        <w:rPr>
          <w:rStyle w:val="js-extracted-address"/>
          <w:rFonts w:ascii="Times New Roman" w:hAnsi="Times New Roman" w:cs="Times New Roman"/>
          <w:sz w:val="20"/>
          <w:szCs w:val="20"/>
        </w:rPr>
        <w:br/>
      </w:r>
    </w:p>
    <w:p w:rsidR="00E964CC" w:rsidRDefault="00E964CC" w:rsidP="00E80FA0">
      <w:pPr>
        <w:pBdr>
          <w:bottom w:val="single" w:sz="12" w:space="1" w:color="auto"/>
        </w:pBdr>
        <w:rPr>
          <w:rStyle w:val="js-extracted-address"/>
          <w:rFonts w:ascii="Times New Roman" w:hAnsi="Times New Roman" w:cs="Times New Roman"/>
          <w:sz w:val="20"/>
          <w:szCs w:val="20"/>
        </w:rPr>
      </w:pPr>
    </w:p>
    <w:p w:rsidR="00E80FA0" w:rsidRDefault="00E80FA0" w:rsidP="00E80FA0">
      <w:pPr>
        <w:jc w:val="center"/>
        <w:rPr>
          <w:b/>
          <w:sz w:val="20"/>
          <w:szCs w:val="20"/>
        </w:rPr>
      </w:pPr>
      <w:r>
        <w:rPr>
          <w:b/>
          <w:sz w:val="20"/>
          <w:szCs w:val="20"/>
        </w:rPr>
        <w:t>ООО «</w:t>
      </w:r>
      <w:proofErr w:type="spellStart"/>
      <w:r>
        <w:rPr>
          <w:b/>
          <w:sz w:val="20"/>
          <w:szCs w:val="20"/>
        </w:rPr>
        <w:t>Юнекс</w:t>
      </w:r>
      <w:proofErr w:type="spellEnd"/>
      <w:r>
        <w:rPr>
          <w:b/>
          <w:sz w:val="20"/>
          <w:szCs w:val="20"/>
        </w:rPr>
        <w:t xml:space="preserve"> Трейд». Санкт-Петербург, </w:t>
      </w:r>
      <w:proofErr w:type="spellStart"/>
      <w:r>
        <w:rPr>
          <w:b/>
          <w:sz w:val="20"/>
          <w:szCs w:val="20"/>
        </w:rPr>
        <w:t>ул</w:t>
      </w:r>
      <w:proofErr w:type="spellEnd"/>
      <w:r>
        <w:rPr>
          <w:b/>
          <w:sz w:val="20"/>
          <w:szCs w:val="20"/>
        </w:rPr>
        <w:t xml:space="preserve"> Ивана Черных, д 29, офис 407.</w:t>
      </w:r>
    </w:p>
    <w:p w:rsidR="00E80FA0" w:rsidRPr="009B6AE8" w:rsidRDefault="00E80FA0" w:rsidP="00E80FA0">
      <w:pPr>
        <w:jc w:val="center"/>
        <w:rPr>
          <w:b/>
          <w:sz w:val="20"/>
          <w:szCs w:val="20"/>
        </w:rPr>
      </w:pPr>
      <w:r>
        <w:rPr>
          <w:b/>
          <w:sz w:val="20"/>
          <w:szCs w:val="20"/>
        </w:rPr>
        <w:t>Телефон: +7-921-941-71-19</w:t>
      </w:r>
    </w:p>
    <w:sectPr w:rsidR="00E80FA0" w:rsidRPr="009B6AE8" w:rsidSect="00E964CC">
      <w:pgSz w:w="11906" w:h="16838"/>
      <w:pgMar w:top="567" w:right="720" w:bottom="720" w:left="709" w:header="708" w:footer="708"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452" w:rsidRDefault="00656452" w:rsidP="00E964CC">
      <w:pPr>
        <w:spacing w:after="0" w:line="240" w:lineRule="auto"/>
      </w:pPr>
      <w:r>
        <w:separator/>
      </w:r>
    </w:p>
  </w:endnote>
  <w:endnote w:type="continuationSeparator" w:id="0">
    <w:p w:rsidR="00656452" w:rsidRDefault="00656452" w:rsidP="00E9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452" w:rsidRDefault="00656452" w:rsidP="00E964CC">
      <w:pPr>
        <w:spacing w:after="0" w:line="240" w:lineRule="auto"/>
      </w:pPr>
      <w:r>
        <w:separator/>
      </w:r>
    </w:p>
  </w:footnote>
  <w:footnote w:type="continuationSeparator" w:id="0">
    <w:p w:rsidR="00656452" w:rsidRDefault="00656452" w:rsidP="00E9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360"/>
        </w:tabs>
        <w:ind w:left="1080" w:hanging="360"/>
      </w:pPr>
    </w:lvl>
  </w:abstractNum>
  <w:abstractNum w:abstractNumId="1" w15:restartNumberingAfterBreak="0">
    <w:nsid w:val="143A20BC"/>
    <w:multiLevelType w:val="hybridMultilevel"/>
    <w:tmpl w:val="1A569D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1F"/>
    <w:rsid w:val="000D471F"/>
    <w:rsid w:val="000D4B0C"/>
    <w:rsid w:val="001A57EC"/>
    <w:rsid w:val="002116B2"/>
    <w:rsid w:val="00241FC4"/>
    <w:rsid w:val="0033546F"/>
    <w:rsid w:val="00343FF4"/>
    <w:rsid w:val="003539B7"/>
    <w:rsid w:val="003A7064"/>
    <w:rsid w:val="0041574E"/>
    <w:rsid w:val="004F3B11"/>
    <w:rsid w:val="00543165"/>
    <w:rsid w:val="00561DD6"/>
    <w:rsid w:val="005A0692"/>
    <w:rsid w:val="00615F18"/>
    <w:rsid w:val="00656452"/>
    <w:rsid w:val="00667FB3"/>
    <w:rsid w:val="00681EA4"/>
    <w:rsid w:val="0070464B"/>
    <w:rsid w:val="00714DA8"/>
    <w:rsid w:val="00762C2E"/>
    <w:rsid w:val="007F0FE4"/>
    <w:rsid w:val="009B6AE8"/>
    <w:rsid w:val="00A231EE"/>
    <w:rsid w:val="00B71142"/>
    <w:rsid w:val="00CA25A8"/>
    <w:rsid w:val="00CC3D51"/>
    <w:rsid w:val="00E80FA0"/>
    <w:rsid w:val="00E964CC"/>
    <w:rsid w:val="00EA1A3C"/>
    <w:rsid w:val="00EC431D"/>
    <w:rsid w:val="00F06293"/>
    <w:rsid w:val="00F43E1F"/>
    <w:rsid w:val="00F51372"/>
    <w:rsid w:val="00FB5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181C"/>
  <w15:docId w15:val="{0CE3C941-2920-4CD4-81AC-A151DF80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F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F18"/>
    <w:rPr>
      <w:rFonts w:ascii="Tahoma" w:hAnsi="Tahoma" w:cs="Tahoma"/>
      <w:sz w:val="16"/>
      <w:szCs w:val="16"/>
    </w:rPr>
  </w:style>
  <w:style w:type="table" w:styleId="-1">
    <w:name w:val="Light List Accent 1"/>
    <w:basedOn w:val="a1"/>
    <w:uiPriority w:val="61"/>
    <w:rsid w:val="00241F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js-extracted-address">
    <w:name w:val="js-extracted-address"/>
    <w:basedOn w:val="a0"/>
    <w:rsid w:val="00E964CC"/>
  </w:style>
  <w:style w:type="paragraph" w:styleId="a5">
    <w:name w:val="header"/>
    <w:basedOn w:val="a"/>
    <w:link w:val="a6"/>
    <w:uiPriority w:val="99"/>
    <w:unhideWhenUsed/>
    <w:rsid w:val="00E964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64CC"/>
  </w:style>
  <w:style w:type="paragraph" w:styleId="a7">
    <w:name w:val="footer"/>
    <w:basedOn w:val="a"/>
    <w:link w:val="a8"/>
    <w:uiPriority w:val="99"/>
    <w:unhideWhenUsed/>
    <w:rsid w:val="00E964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64CC"/>
  </w:style>
  <w:style w:type="paragraph" w:styleId="a9">
    <w:name w:val="Body Text"/>
    <w:basedOn w:val="a"/>
    <w:link w:val="aa"/>
    <w:rsid w:val="009B6AE8"/>
    <w:pPr>
      <w:spacing w:before="120"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rsid w:val="009B6AE8"/>
    <w:rPr>
      <w:rFonts w:ascii="Times New Roman" w:eastAsia="Times New Roman" w:hAnsi="Times New Roman" w:cs="Times New Roman"/>
      <w:szCs w:val="20"/>
      <w:lang w:eastAsia="ru-RU"/>
    </w:rPr>
  </w:style>
  <w:style w:type="paragraph" w:styleId="2">
    <w:name w:val="Body Text Indent 2"/>
    <w:basedOn w:val="a"/>
    <w:link w:val="20"/>
    <w:unhideWhenUsed/>
    <w:rsid w:val="00561DD6"/>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561DD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6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cp:lastModifiedBy>
  <cp:revision>3</cp:revision>
  <dcterms:created xsi:type="dcterms:W3CDTF">2019-02-17T16:23:00Z</dcterms:created>
  <dcterms:modified xsi:type="dcterms:W3CDTF">2019-02-17T16:26:00Z</dcterms:modified>
</cp:coreProperties>
</file>